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84" w:rsidRDefault="003E3284" w:rsidP="003E3284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01 e 02), 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3E3284" w:rsidRDefault="003E3284" w:rsidP="003E328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166A2" w:rsidRDefault="003E3284" w:rsidP="003E328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AÇÃO DE DESPEJO,</w:t>
      </w:r>
    </w:p>
    <w:p w:rsidR="003E3284" w:rsidRPr="003E3284" w:rsidRDefault="003E3284" w:rsidP="003E328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28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8º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>: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FATOS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escritura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pública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cisão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incorporação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bens,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celebrada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03),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devidamente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registrada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ofício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Registro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Capital,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 (...)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04),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tornou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proprietária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celebrado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transmitente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início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(...), 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mensal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R$ (...)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05).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Como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convém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manter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tempestivamente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06),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desocupasse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legal de 90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noventa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Entretanto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decorreu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tenha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 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5F3C6A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atendido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aviso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Inclusive,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somente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informação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paga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houve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transmissão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injustamente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suportar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referentes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uso</w:t>
      </w:r>
      <w:proofErr w:type="spellEnd"/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tais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IPTUs,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condominiais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etc.,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serão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cobradas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posteriormente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própria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portanto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situação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extremamente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desconfortável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iníqua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fazendo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mister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imediata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tutela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jurisdicional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cesse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locupletamento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indevido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obstante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pedir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fulcro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8º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Lei 8.245/1991.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DIREITO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Determina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8º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Lei 8.245/1991:</w:t>
      </w: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3284">
        <w:rPr>
          <w:rFonts w:ascii="Times New Roman" w:hAnsi="Times New Roman" w:cs="Times New Roman"/>
          <w:i/>
          <w:sz w:val="28"/>
          <w:szCs w:val="28"/>
        </w:rPr>
        <w:t xml:space="preserve">Art. 8º Se 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imóvel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for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alienado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durante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locação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, 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adquirente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poderá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denunciar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contrato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, com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prazo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noventa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dias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para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desocupação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, salvo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se 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locação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for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tempo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determinado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e 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contrato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contiver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cláusula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vigência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caso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alienação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estiver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averbado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junto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à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matrícula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imóvel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>.</w:t>
      </w: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3284">
        <w:rPr>
          <w:rFonts w:ascii="Times New Roman" w:hAnsi="Times New Roman" w:cs="Times New Roman"/>
          <w:i/>
          <w:sz w:val="28"/>
          <w:szCs w:val="28"/>
        </w:rPr>
        <w:t>§ 1º (...)</w:t>
      </w: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3284">
        <w:rPr>
          <w:rFonts w:ascii="Times New Roman" w:hAnsi="Times New Roman" w:cs="Times New Roman"/>
          <w:i/>
          <w:sz w:val="28"/>
          <w:szCs w:val="28"/>
        </w:rPr>
        <w:t xml:space="preserve">§ 2º A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denúncia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deverá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ser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exercida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prazo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de 90 </w:t>
      </w:r>
      <w:proofErr w:type="spellStart"/>
      <w:proofErr w:type="gramStart"/>
      <w:r w:rsidRPr="003E3284">
        <w:rPr>
          <w:rFonts w:ascii="Times New Roman" w:hAnsi="Times New Roman" w:cs="Times New Roman"/>
          <w:i/>
          <w:sz w:val="28"/>
          <w:szCs w:val="28"/>
        </w:rPr>
        <w:t>dias</w:t>
      </w:r>
      <w:proofErr w:type="spellEnd"/>
      <w:proofErr w:type="gram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contados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registro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venda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ou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do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compromisso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presumindo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-se,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após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este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prazo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concordância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na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manutenção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i/>
          <w:sz w:val="28"/>
          <w:szCs w:val="28"/>
        </w:rPr>
        <w:t>locação</w:t>
      </w:r>
      <w:proofErr w:type="spellEnd"/>
      <w:r w:rsidRPr="003E3284">
        <w:rPr>
          <w:rFonts w:ascii="Times New Roman" w:hAnsi="Times New Roman" w:cs="Times New Roman"/>
          <w:i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Ensina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respeito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Sylvio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Capanema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Souza: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É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irrelevante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efeito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denúncia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forma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onerosa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gratuita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estão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legitimados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exercê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 la,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comprador,promissário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comprador,cessionário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promissário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cessionário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permutante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credor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receba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Continua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preclaro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doutrinador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: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aplique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regra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8º,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essencial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opere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atos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inter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vivos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venda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promessa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venda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permuta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incorporação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capital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sociedade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fusão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cisão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§ 2º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esclarece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: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Cometeu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legislador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um grave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erro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redação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poderá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acarretar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perplexidades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intérprete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aludir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no § 2º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8º </w:t>
      </w:r>
      <w:r w:rsidR="00E166A2" w:rsidRPr="003E3284">
        <w:rPr>
          <w:rFonts w:ascii="Times New Roman" w:hAnsi="Times New Roman" w:cs="Times New Roman"/>
          <w:i/>
          <w:sz w:val="28"/>
          <w:szCs w:val="28"/>
        </w:rPr>
        <w:lastRenderedPageBreak/>
        <w:t>“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registro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venda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”,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quando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correto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seria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dizer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“do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título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i/>
          <w:sz w:val="28"/>
          <w:szCs w:val="28"/>
        </w:rPr>
        <w:t>aquisitivo</w:t>
      </w:r>
      <w:proofErr w:type="spellEnd"/>
      <w:r w:rsidR="00E166A2" w:rsidRPr="003E3284">
        <w:rPr>
          <w:rFonts w:ascii="Times New Roman" w:hAnsi="Times New Roman" w:cs="Times New Roman"/>
          <w:i/>
          <w:sz w:val="28"/>
          <w:szCs w:val="28"/>
        </w:rPr>
        <w:t>”.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É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sentido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lição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professora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Maria Helena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Diniz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comentar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seguinte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forma: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dispositivo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exame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refere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hipótese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transferência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posição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jurídica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titular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domínio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relativamente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deve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entender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apenas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venda</w:t>
      </w:r>
      <w:proofErr w:type="spellEnd"/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também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permuta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doação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execução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forçada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estabelecimento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usufruto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etc. E o novo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adquirente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aquele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vier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substituir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inter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vivos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constituindo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portanto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um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terceiro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alheio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jurídica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‘ex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’ (‘res inter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aliis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neque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nocet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neque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prodest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’); nada tem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inquilino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respondendo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benfeitorias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(STF,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súmula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158);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conseguinte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terá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dever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algum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respeitar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locatício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efetivado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fins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residenciais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parte,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podendo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denunciá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-lo,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90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evacuação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justificação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denúncia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vazia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)(...)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CITAÇÃO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Civil,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via postal, se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permitir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PEDIDO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6A2" w:rsidRPr="003E3284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:</w:t>
      </w: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284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28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E3284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3E3284">
        <w:rPr>
          <w:rFonts w:ascii="Times New Roman" w:hAnsi="Times New Roman" w:cs="Times New Roman"/>
          <w:sz w:val="28"/>
          <w:szCs w:val="28"/>
        </w:rPr>
        <w:t>.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E166A2" w:rsidRPr="003E3284" w:rsidRDefault="00E166A2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284">
        <w:rPr>
          <w:rFonts w:ascii="Times New Roman" w:hAnsi="Times New Roman" w:cs="Times New Roman"/>
          <w:sz w:val="28"/>
          <w:szCs w:val="28"/>
        </w:rPr>
        <w:lastRenderedPageBreak/>
        <w:t>Ou</w:t>
      </w:r>
      <w:proofErr w:type="spellEnd"/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</w:t>
      </w:r>
      <w:r w:rsidR="005F3C6A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.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PROVAS</w:t>
      </w: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166A2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E3284">
        <w:rPr>
          <w:rFonts w:ascii="Times New Roman" w:hAnsi="Times New Roman" w:cs="Times New Roman"/>
          <w:sz w:val="28"/>
          <w:szCs w:val="28"/>
        </w:rPr>
        <w:t>VALOR DA CAUSA</w:t>
      </w:r>
    </w:p>
    <w:p w:rsidR="00E166A2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166A2" w:rsidRPr="003E3284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valor de R$ (...) (doze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6A2" w:rsidRPr="003E3284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E166A2" w:rsidRPr="003E328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E166A2" w:rsidRPr="003E3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E3284" w:rsidRDefault="003E3284" w:rsidP="003E328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284" w:rsidRDefault="003E3284" w:rsidP="003E328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E3284" w:rsidRDefault="003E3284" w:rsidP="003E328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E3284" w:rsidRDefault="003E3284" w:rsidP="003E328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E3284" w:rsidRDefault="003E3284" w:rsidP="003E328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E3284" w:rsidRDefault="003E3284" w:rsidP="003E328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E3284" w:rsidRDefault="003E3284" w:rsidP="003E328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3E3284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3E3284" w:rsidRDefault="003E3284" w:rsidP="003E328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E3284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F7" w:rsidRDefault="00315FF7" w:rsidP="00645661">
      <w:r>
        <w:separator/>
      </w:r>
    </w:p>
  </w:endnote>
  <w:endnote w:type="continuationSeparator" w:id="1">
    <w:p w:rsidR="00315FF7" w:rsidRDefault="00315FF7" w:rsidP="00645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F12AD2">
    <w:pPr>
      <w:pStyle w:val="Corpodetexto"/>
      <w:spacing w:before="0" w:line="14" w:lineRule="auto"/>
      <w:ind w:left="0"/>
      <w:rPr>
        <w:sz w:val="20"/>
      </w:rPr>
    </w:pPr>
    <w:r w:rsidRPr="00F12A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3E3284" w:rsidP="005F3C6A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F7" w:rsidRDefault="00315FF7" w:rsidP="00645661">
      <w:r>
        <w:separator/>
      </w:r>
    </w:p>
  </w:footnote>
  <w:footnote w:type="continuationSeparator" w:id="1">
    <w:p w:rsidR="00315FF7" w:rsidRDefault="00315FF7" w:rsidP="00645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9F9"/>
    <w:multiLevelType w:val="multilevel"/>
    <w:tmpl w:val="14AC4A7E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66A2"/>
    <w:rsid w:val="00134AC6"/>
    <w:rsid w:val="00315FF7"/>
    <w:rsid w:val="003E3284"/>
    <w:rsid w:val="003E5118"/>
    <w:rsid w:val="004857BD"/>
    <w:rsid w:val="005F3C6A"/>
    <w:rsid w:val="00645661"/>
    <w:rsid w:val="00750A63"/>
    <w:rsid w:val="00772FE2"/>
    <w:rsid w:val="007A5AD2"/>
    <w:rsid w:val="0085146A"/>
    <w:rsid w:val="00A20D77"/>
    <w:rsid w:val="00B96CA1"/>
    <w:rsid w:val="00E166A2"/>
    <w:rsid w:val="00ED7EA6"/>
    <w:rsid w:val="00F04A64"/>
    <w:rsid w:val="00F1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66A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E166A2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166A2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166A2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E166A2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5F3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3C6A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5F3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3C6A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3E3284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2016-03-16T23:42:00Z</dcterms:created>
  <dcterms:modified xsi:type="dcterms:W3CDTF">2016-03-23T00:41:00Z</dcterms:modified>
</cp:coreProperties>
</file>